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6557CE3C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E46098">
        <w:rPr>
          <w:rFonts w:ascii="Times New Roman" w:hAnsi="Times New Roman" w:cs="Times New Roman"/>
          <w:b/>
          <w:sz w:val="24"/>
          <w:szCs w:val="24"/>
        </w:rPr>
        <w:t>20</w:t>
      </w:r>
      <w:r w:rsidR="00573BA8">
        <w:rPr>
          <w:rFonts w:ascii="Times New Roman" w:hAnsi="Times New Roman" w:cs="Times New Roman"/>
          <w:b/>
          <w:sz w:val="24"/>
          <w:szCs w:val="24"/>
        </w:rPr>
        <w:t>698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46098" w:rsidRPr="00E46098">
        <w:rPr>
          <w:rFonts w:ascii="Times New Roman" w:hAnsi="Times New Roman" w:cs="Times New Roman"/>
          <w:b/>
          <w:sz w:val="24"/>
          <w:szCs w:val="24"/>
        </w:rPr>
        <w:t>Катетерные системы для нейроаксиального введения. Стерильные и одноразовые катетеры и аксессуары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3A2F2EC" w14:textId="77777777" w:rsidR="006B4577" w:rsidRPr="00A03385" w:rsidRDefault="006B4577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</w:t>
      </w:r>
    </w:p>
    <w:p w14:paraId="69FAC7B8" w14:textId="7F6D5E21" w:rsidR="006B4577" w:rsidRPr="00A03385" w:rsidRDefault="006B4577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третьего направления Постановления Правительства РК от 12 октября 2021 года № 725 «Об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утверждении национального проекта "Качественное и доступное здравоохранение для каждого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гражданина "Здоровая нация"».</w:t>
      </w:r>
    </w:p>
    <w:p w14:paraId="07507341" w14:textId="691E5C40" w:rsidR="00A03385" w:rsidRDefault="006B4577" w:rsidP="006B457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производства инсулиновых игл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для шприц-ручек. В текущий момент на территорий РК имеется отечественный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товаропроизводитель данного медизделия (ТОО «Green Cross Eco» (Грин Кросс Эко)). Для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производства надлежащего качества инсулиновых игл для шприц-ручек, а также определения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единых подходов к созданию системы обеспечения качества медицинских изделий необходима</w:t>
      </w:r>
      <w:r w:rsid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разработка данного документа по стандартизации.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BDC28D9" w14:textId="77777777" w:rsidR="00A03385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Международные стандарты, касающиеся катетерных систем для нейроаксиальных применений, не существуют; тем не менее, этот класс медицинских устройств очень обширен и ежегодно несколько миллионов катетеров вставляются или имплантируются. Для многих из этих применений (например, тех, что нацелены на мозг или позвоночник) существуют значительные клинические риски.</w:t>
      </w:r>
    </w:p>
    <w:p w14:paraId="0817EF37" w14:textId="77777777" w:rsidR="00A03385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Некорректная доставка лекарств и другие неправильные соединения между медицинскими устройствами привели к более высокому осознанию потенциальной роли несовместимых разъемов в снижении подобных происшествий. Разъемы для нейроаксиальных применений описаны в ISO 80369-6.</w:t>
      </w:r>
    </w:p>
    <w:p w14:paraId="22B8A1C5" w14:textId="732F9F9E" w:rsidR="00FA2282" w:rsidRPr="00D42394" w:rsidRDefault="00FA2282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8E5E461" w14:textId="17F713D3" w:rsidR="00A03385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тся инсулиновые иглы для шприц-ручек.</w:t>
      </w:r>
    </w:p>
    <w:p w14:paraId="66773FFE" w14:textId="77777777" w:rsidR="00A03385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07DEDC8D" w14:textId="77777777" w:rsidR="00A03385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Иглы для инсулиновых шприц ручек сверхтонкие предназначены для одноразового</w:t>
      </w:r>
    </w:p>
    <w:p w14:paraId="0BBFC892" w14:textId="77777777" w:rsidR="00A03385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использования с инсулиновыми шприц - ручками, для подкожного введения инсулина.</w:t>
      </w:r>
    </w:p>
    <w:p w14:paraId="753FDE78" w14:textId="5B3EEC2B" w:rsidR="002964E7" w:rsidRPr="00A03385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03385">
        <w:rPr>
          <w:rFonts w:ascii="Times New Roman" w:hAnsi="Times New Roman" w:cs="Times New Roman"/>
          <w:sz w:val="24"/>
          <w:szCs w:val="24"/>
          <w:lang w:eastAsia="zh-CN"/>
        </w:rPr>
        <w:t>Одноразовые иглы для инсулиновых инжекторов (шприц ручек) стерильные, нетоксичные,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>апирогенные.</w:t>
      </w:r>
    </w:p>
    <w:p w14:paraId="5AA019F1" w14:textId="77777777" w:rsidR="00A03385" w:rsidRPr="004F2DD9" w:rsidRDefault="00A03385" w:rsidP="00A0338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5CE5B247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lastRenderedPageBreak/>
        <w:t>экономического союза (Указ Президента Республики Казахстан от 19 декабря 2014 года № 980)</w:t>
      </w:r>
      <w:bookmarkEnd w:id="0"/>
    </w:p>
    <w:p w14:paraId="72F54214" w14:textId="7B4B2074" w:rsidR="006B4577" w:rsidRPr="006B4577" w:rsidRDefault="006B4577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6B4577">
        <w:rPr>
          <w:rStyle w:val="FontStyle33"/>
          <w:rFonts w:ascii="Times New Roman" w:hAnsi="Times New Roman"/>
          <w:bCs/>
          <w:sz w:val="24"/>
          <w:szCs w:val="24"/>
        </w:rPr>
        <w:t>ГОСТ ISO 10993-1-2011 И</w:t>
      </w:r>
      <w:r w:rsidRPr="006B4577">
        <w:rPr>
          <w:rStyle w:val="FontStyle33"/>
          <w:rFonts w:ascii="Times New Roman" w:hAnsi="Times New Roman"/>
          <w:sz w:val="24"/>
          <w:szCs w:val="24"/>
        </w:rPr>
        <w:t xml:space="preserve">зделия медицинские. Оценка биологического действия медицинских изделий. </w:t>
      </w:r>
      <w:r w:rsidRPr="006B4577">
        <w:rPr>
          <w:rStyle w:val="FontStyle33"/>
          <w:rFonts w:ascii="Times New Roman" w:hAnsi="Times New Roman"/>
          <w:bCs/>
          <w:sz w:val="24"/>
          <w:szCs w:val="24"/>
        </w:rPr>
        <w:t>Часть 1. Оценка и исследования</w:t>
      </w:r>
    </w:p>
    <w:p w14:paraId="0C290019" w14:textId="7224EB0A" w:rsidR="006B4577" w:rsidRPr="006B4577" w:rsidRDefault="006B4577" w:rsidP="00E777BD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B4577">
        <w:rPr>
          <w:rStyle w:val="FontStyle33"/>
          <w:rFonts w:ascii="Times New Roman" w:hAnsi="Times New Roman"/>
          <w:bCs/>
          <w:sz w:val="24"/>
          <w:szCs w:val="24"/>
        </w:rPr>
        <w:t>ГОСТ ISO 10993-7-2016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6B4577">
        <w:rPr>
          <w:rStyle w:val="FontStyle33"/>
          <w:rFonts w:ascii="Times New Roman" w:hAnsi="Times New Roman"/>
          <w:bCs/>
          <w:sz w:val="24"/>
          <w:szCs w:val="24"/>
        </w:rPr>
        <w:t>Изделия медицинские. Оценка биологического действия медицинских изделий. Часть 7. Остаточное содержание этиленоксида после стерилизации</w:t>
      </w:r>
    </w:p>
    <w:p w14:paraId="33551210" w14:textId="1BE0C2AB" w:rsidR="006B4577" w:rsidRPr="006B4577" w:rsidRDefault="006B4577" w:rsidP="00EF7E45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6B4577">
        <w:rPr>
          <w:rStyle w:val="FontStyle33"/>
          <w:rFonts w:ascii="Times New Roman" w:hAnsi="Times New Roman"/>
          <w:bCs/>
          <w:sz w:val="24"/>
          <w:szCs w:val="24"/>
        </w:rPr>
        <w:t>ГОСТ ISO 11607-1-2018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6B4577">
        <w:rPr>
          <w:rStyle w:val="FontStyle33"/>
          <w:rFonts w:ascii="Times New Roman" w:hAnsi="Times New Roman"/>
          <w:bCs/>
          <w:sz w:val="24"/>
          <w:szCs w:val="24"/>
        </w:rPr>
        <w:t>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</w:r>
    </w:p>
    <w:p w14:paraId="0ABBFAFC" w14:textId="5DCE9DA4" w:rsidR="006B4577" w:rsidRDefault="006B4577" w:rsidP="006B4577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016089E0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577" w:rsidRPr="006B4577">
        <w:rPr>
          <w:rFonts w:ascii="Times New Roman" w:hAnsi="Times New Roman" w:cs="Times New Roman"/>
          <w:sz w:val="24"/>
          <w:szCs w:val="24"/>
        </w:rPr>
        <w:t>ISO 20698:2018 Catheter systems for neuraxial application — Sterile and single-use catheters and accessories (Катетерные системы для нейроаксиального введения. Стерильные и одноразовые катетеры и аксессуары).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573BA8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573BA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73BA8"/>
    <w:rsid w:val="005B7B96"/>
    <w:rsid w:val="005C744F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46098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17</cp:revision>
  <dcterms:created xsi:type="dcterms:W3CDTF">2022-08-31T09:51:00Z</dcterms:created>
  <dcterms:modified xsi:type="dcterms:W3CDTF">2023-09-14T17:37:00Z</dcterms:modified>
</cp:coreProperties>
</file>